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CF666" w14:textId="77777777" w:rsidR="00F523C3" w:rsidRPr="00F523C3" w:rsidRDefault="00F523C3" w:rsidP="003E3153">
      <w:pPr>
        <w:ind w:left="-709"/>
        <w:jc w:val="both"/>
        <w:rPr>
          <w:rFonts w:ascii="Verdana" w:hAnsi="Verdana"/>
          <w:sz w:val="20"/>
          <w:szCs w:val="20"/>
        </w:rPr>
      </w:pPr>
      <w:r w:rsidRPr="00F523C3">
        <w:rPr>
          <w:rFonts w:ascii="Verdana" w:hAnsi="Verdana" w:cs="Arial"/>
          <w:sz w:val="20"/>
          <w:szCs w:val="20"/>
        </w:rPr>
        <w:t xml:space="preserve">Ειδικά Δικαιολογητικά του άρθρου 7της </w:t>
      </w:r>
      <w:r w:rsidRPr="00F523C3">
        <w:rPr>
          <w:rFonts w:ascii="Verdana" w:hAnsi="Verdana" w:cs="MyriadPro-Regular"/>
          <w:sz w:val="20"/>
          <w:szCs w:val="20"/>
        </w:rPr>
        <w:t>Αριθμ. 21061/2022 Υ.Α. (ΦΕΚ 980/Β/03-03-2022)</w:t>
      </w:r>
      <w:r w:rsidRPr="00F523C3">
        <w:rPr>
          <w:rFonts w:ascii="Verdana" w:hAnsi="Verdana" w:cs="Arial"/>
          <w:sz w:val="20"/>
          <w:szCs w:val="20"/>
        </w:rPr>
        <w:t>,</w:t>
      </w:r>
      <w:r w:rsidR="00BC6990">
        <w:rPr>
          <w:rFonts w:ascii="Verdana" w:hAnsi="Verdana" w:cs="Arial"/>
          <w:sz w:val="20"/>
          <w:szCs w:val="20"/>
        </w:rPr>
        <w:t xml:space="preserve"> </w:t>
      </w:r>
      <w:r w:rsidR="00BC6990" w:rsidRPr="00D41A74">
        <w:rPr>
          <w:rFonts w:ascii="Verdana" w:hAnsi="Verdana" w:cs="Arial"/>
          <w:sz w:val="20"/>
          <w:szCs w:val="20"/>
          <w:highlight w:val="yellow"/>
        </w:rPr>
        <w:t>όπως τροποιήθηκε με την αριθμ.</w:t>
      </w:r>
      <w:r w:rsidR="00BC6990">
        <w:rPr>
          <w:rFonts w:ascii="Verdana" w:hAnsi="Verdana" w:cs="Arial"/>
          <w:sz w:val="20"/>
          <w:szCs w:val="20"/>
        </w:rPr>
        <w:t xml:space="preserve"> </w:t>
      </w:r>
      <w:r w:rsidR="00BC6990" w:rsidRPr="00D41A74">
        <w:rPr>
          <w:rFonts w:ascii="Verdana" w:hAnsi="Verdana" w:cs="Arial"/>
          <w:sz w:val="20"/>
          <w:szCs w:val="20"/>
          <w:highlight w:val="yellow"/>
        </w:rPr>
        <w:t>55332/27.05.2022 Υ.Α. (ΦΕΚ 2660/Β/30.5.2022)</w:t>
      </w:r>
      <w:r w:rsidR="00BC6990">
        <w:rPr>
          <w:rFonts w:ascii="Verdana" w:hAnsi="Verdana" w:cs="Arial"/>
          <w:sz w:val="20"/>
          <w:szCs w:val="20"/>
        </w:rPr>
        <w:t xml:space="preserve"> απόφαση Υπουργού Ανάπτυξης </w:t>
      </w:r>
      <w:r w:rsidRPr="00F523C3">
        <w:rPr>
          <w:rFonts w:ascii="Verdana" w:hAnsi="Verdana" w:cs="Arial"/>
          <w:sz w:val="20"/>
          <w:szCs w:val="20"/>
        </w:rPr>
        <w:t xml:space="preserve"> κατά περίπτωση</w:t>
      </w:r>
    </w:p>
    <w:p w14:paraId="57B54BEB" w14:textId="77777777" w:rsidR="00F523C3" w:rsidRPr="00F523C3" w:rsidRDefault="00F523C3">
      <w:pPr>
        <w:rPr>
          <w:rFonts w:ascii="Verdana" w:hAnsi="Verdana"/>
          <w:sz w:val="20"/>
          <w:szCs w:val="20"/>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15"/>
        <w:gridCol w:w="1276"/>
      </w:tblGrid>
      <w:tr w:rsidR="00F523C3" w:rsidRPr="00F523C3" w14:paraId="39BCDF36" w14:textId="77777777" w:rsidTr="007137FE">
        <w:trPr>
          <w:trHeight w:val="719"/>
        </w:trPr>
        <w:tc>
          <w:tcPr>
            <w:tcW w:w="9215" w:type="dxa"/>
          </w:tcPr>
          <w:p w14:paraId="612E5E4C" w14:textId="77777777" w:rsidR="00F523C3" w:rsidRPr="00F523C3" w:rsidRDefault="00F523C3" w:rsidP="007137FE">
            <w:pPr>
              <w:ind w:left="227" w:right="227"/>
              <w:jc w:val="both"/>
              <w:rPr>
                <w:rFonts w:ascii="Verdana" w:hAnsi="Verdana" w:cs="Times New Roman"/>
                <w:sz w:val="20"/>
                <w:szCs w:val="20"/>
              </w:rPr>
            </w:pPr>
            <w:r w:rsidRPr="00F523C3">
              <w:rPr>
                <w:rFonts w:ascii="Verdana" w:hAnsi="Verdana" w:cs="Times New Roman"/>
                <w:b/>
                <w:sz w:val="20"/>
                <w:szCs w:val="20"/>
              </w:rPr>
              <w:t>α. Για τη διάθεση αυγών:</w:t>
            </w:r>
            <w:r w:rsidRPr="00F523C3">
              <w:rPr>
                <w:rFonts w:ascii="Verdana" w:hAnsi="Verdana" w:cs="Times New Roman"/>
                <w:sz w:val="20"/>
                <w:szCs w:val="20"/>
              </w:rPr>
              <w:t xml:space="preserve"> Άδεια λειτουργίας ή άδεια προέγκρισης ή άδεια εγκατάστασης της πτηνοτροφικής μονάδας ή νόμιμη απαλλαγή από τη σχετική διαδικασία αδειοδότησης, σύμφωνα με το ν. 4056/2012 (Α' 52), καθώς και βεβαίωση ωοσκοπικού ελέγχου, σύμφωνα με τους Κανονισμούς 853/2004 (L 139/55) και 589/2008 (L 163/6). Σε κάθε περίπτωση απαιτείται επίσης η γνωστοποίηση του κωδικού εκμετάλλευσης.</w:t>
            </w:r>
          </w:p>
        </w:tc>
        <w:tc>
          <w:tcPr>
            <w:tcW w:w="1276" w:type="dxa"/>
          </w:tcPr>
          <w:p w14:paraId="4AE477FA" w14:textId="77777777" w:rsidR="00F523C3" w:rsidRPr="00F523C3" w:rsidRDefault="00F523C3" w:rsidP="007137FE">
            <w:pPr>
              <w:rPr>
                <w:rFonts w:ascii="Verdana" w:hAnsi="Verdana"/>
                <w:sz w:val="20"/>
                <w:szCs w:val="20"/>
              </w:rPr>
            </w:pPr>
          </w:p>
          <w:p w14:paraId="39DBA104" w14:textId="77777777" w:rsidR="00F523C3" w:rsidRPr="00F523C3" w:rsidRDefault="00F523C3" w:rsidP="007137FE">
            <w:pPr>
              <w:spacing w:line="360" w:lineRule="auto"/>
              <w:ind w:right="227"/>
              <w:jc w:val="both"/>
              <w:rPr>
                <w:rFonts w:ascii="Verdana" w:hAnsi="Verdana" w:cs="Times New Roman"/>
                <w:b/>
                <w:color w:val="auto"/>
                <w:sz w:val="20"/>
                <w:szCs w:val="20"/>
              </w:rPr>
            </w:pPr>
          </w:p>
        </w:tc>
      </w:tr>
      <w:tr w:rsidR="00F523C3" w:rsidRPr="00F523C3" w14:paraId="17E2D8CD" w14:textId="77777777" w:rsidTr="007137FE">
        <w:trPr>
          <w:trHeight w:val="1006"/>
        </w:trPr>
        <w:tc>
          <w:tcPr>
            <w:tcW w:w="9215" w:type="dxa"/>
          </w:tcPr>
          <w:p w14:paraId="1DCBDC68" w14:textId="77777777" w:rsidR="00F523C3" w:rsidRPr="00F523C3" w:rsidRDefault="00F523C3" w:rsidP="0001227E">
            <w:pPr>
              <w:jc w:val="both"/>
              <w:rPr>
                <w:rFonts w:ascii="Verdana" w:hAnsi="Verdana" w:cs="Times New Roman"/>
                <w:sz w:val="20"/>
                <w:szCs w:val="20"/>
              </w:rPr>
            </w:pPr>
            <w:r w:rsidRPr="00F523C3">
              <w:rPr>
                <w:rFonts w:ascii="Verdana" w:hAnsi="Verdana" w:cs="Times New Roman"/>
                <w:b/>
                <w:sz w:val="20"/>
                <w:szCs w:val="20"/>
              </w:rPr>
              <w:t xml:space="preserve">   β. Για τη διάθεση μελιού:</w:t>
            </w:r>
            <w:r w:rsidRPr="00F523C3">
              <w:rPr>
                <w:rFonts w:ascii="Verdana" w:hAnsi="Verdana" w:cs="Times New Roman"/>
                <w:sz w:val="20"/>
                <w:szCs w:val="20"/>
              </w:rPr>
              <w:t xml:space="preserve"> Επικυρωμένο φωτοαντίγραφο μελισσοκομικού     βιβλιαρίου   νομίμως θεωρημένου σύμφωνα με την υπ' αριθ. 370910/14.5.2001</w:t>
            </w:r>
            <w:r w:rsidR="0001227E">
              <w:rPr>
                <w:rFonts w:ascii="Verdana" w:hAnsi="Verdana" w:cs="Times New Roman"/>
                <w:sz w:val="20"/>
                <w:szCs w:val="20"/>
              </w:rPr>
              <w:t xml:space="preserve"> (Β΄642)</w:t>
            </w:r>
            <w:r w:rsidRPr="00F523C3">
              <w:rPr>
                <w:rFonts w:ascii="Verdana" w:hAnsi="Verdana" w:cs="Times New Roman"/>
                <w:sz w:val="20"/>
                <w:szCs w:val="20"/>
              </w:rPr>
              <w:t xml:space="preserve"> απόφαση του Υπουργού Γεωργίας.</w:t>
            </w:r>
          </w:p>
        </w:tc>
        <w:tc>
          <w:tcPr>
            <w:tcW w:w="1276" w:type="dxa"/>
          </w:tcPr>
          <w:p w14:paraId="30D347B1" w14:textId="77777777" w:rsidR="00F523C3" w:rsidRPr="00F523C3" w:rsidRDefault="00F523C3" w:rsidP="007137FE">
            <w:pPr>
              <w:autoSpaceDE w:val="0"/>
              <w:autoSpaceDN w:val="0"/>
              <w:adjustRightInd w:val="0"/>
              <w:ind w:right="227"/>
              <w:jc w:val="both"/>
              <w:rPr>
                <w:rFonts w:ascii="Verdana" w:hAnsi="Verdana" w:cs="Times New Roman"/>
                <w:b/>
                <w:color w:val="auto"/>
                <w:sz w:val="20"/>
                <w:szCs w:val="20"/>
              </w:rPr>
            </w:pPr>
          </w:p>
          <w:p w14:paraId="347216D6" w14:textId="77777777" w:rsidR="00F523C3" w:rsidRPr="00F523C3" w:rsidRDefault="00F523C3" w:rsidP="007137FE">
            <w:pPr>
              <w:autoSpaceDE w:val="0"/>
              <w:autoSpaceDN w:val="0"/>
              <w:adjustRightInd w:val="0"/>
              <w:ind w:left="227" w:right="227"/>
              <w:jc w:val="both"/>
              <w:rPr>
                <w:rFonts w:ascii="Verdana" w:hAnsi="Verdana" w:cs="Times New Roman"/>
                <w:b/>
                <w:color w:val="auto"/>
                <w:sz w:val="20"/>
                <w:szCs w:val="20"/>
              </w:rPr>
            </w:pPr>
          </w:p>
        </w:tc>
      </w:tr>
      <w:tr w:rsidR="00F523C3" w:rsidRPr="00F523C3" w14:paraId="4B097ECB" w14:textId="77777777" w:rsidTr="007137FE">
        <w:trPr>
          <w:trHeight w:val="2007"/>
        </w:trPr>
        <w:tc>
          <w:tcPr>
            <w:tcW w:w="9215" w:type="dxa"/>
          </w:tcPr>
          <w:p w14:paraId="74A3E7C4" w14:textId="77777777" w:rsidR="00F523C3" w:rsidRPr="00F523C3" w:rsidRDefault="00F523C3" w:rsidP="007137FE">
            <w:pPr>
              <w:ind w:left="227" w:right="227"/>
              <w:jc w:val="both"/>
              <w:rPr>
                <w:rFonts w:ascii="Verdana" w:hAnsi="Verdana" w:cs="Times New Roman"/>
                <w:sz w:val="20"/>
                <w:szCs w:val="20"/>
              </w:rPr>
            </w:pPr>
            <w:r w:rsidRPr="00F523C3">
              <w:rPr>
                <w:rFonts w:ascii="Verdana" w:hAnsi="Verdana" w:cs="Times New Roman"/>
                <w:b/>
                <w:sz w:val="20"/>
                <w:szCs w:val="20"/>
              </w:rPr>
              <w:t>γ. Για τη διάθεση πουλερικών και κονίκλων:</w:t>
            </w:r>
            <w:r w:rsidRPr="00F523C3">
              <w:rPr>
                <w:rFonts w:ascii="Verdana" w:hAnsi="Verdana" w:cs="Times New Roman"/>
                <w:sz w:val="20"/>
                <w:szCs w:val="20"/>
              </w:rPr>
              <w:t xml:space="preserve"> Άδεια λειτουργίας ή άδεια προέγκρισης ή άδεια εγκατάστασης της μονάδας σύμφωνα με το ν. 4056/2012 (Α' 52). Ειδικά, οι παραγωγοί, που η ετήσια παραγωγή τους δεν υπερβαίνει τα 10.000 πουλερικά ή λαγόμορφα και οι οποίοι δεν υποχρεούνται στη σφαγή σε εγκεκριμένα πτηνοσφαγεία ή σε εγκεκριμένα σφαγεία λαγομόρφων αντίστοιχα, ακολουθούν τις υποχρεώσεις που θέτει η Διεύθυνση Αγροτικής Οικονομίας και Κτηνιατρικής της Περιφερειακής Ενότητας στην οποία βρίσκεται η εκμετάλλευση.</w:t>
            </w:r>
          </w:p>
        </w:tc>
        <w:tc>
          <w:tcPr>
            <w:tcW w:w="1276" w:type="dxa"/>
          </w:tcPr>
          <w:p w14:paraId="4EFF4C5A" w14:textId="77777777" w:rsidR="00F523C3" w:rsidRPr="00F523C3" w:rsidRDefault="00F523C3" w:rsidP="007137FE">
            <w:pPr>
              <w:spacing w:line="360" w:lineRule="auto"/>
              <w:ind w:left="227" w:right="227"/>
              <w:jc w:val="both"/>
              <w:rPr>
                <w:rFonts w:ascii="Verdana" w:hAnsi="Verdana" w:cs="Times New Roman"/>
                <w:b/>
                <w:color w:val="auto"/>
                <w:sz w:val="20"/>
                <w:szCs w:val="20"/>
              </w:rPr>
            </w:pPr>
          </w:p>
          <w:p w14:paraId="3321062B" w14:textId="77777777" w:rsidR="00F523C3" w:rsidRPr="00F523C3" w:rsidRDefault="00F523C3" w:rsidP="007137FE">
            <w:pPr>
              <w:spacing w:line="360" w:lineRule="auto"/>
              <w:ind w:left="227" w:right="227"/>
              <w:jc w:val="both"/>
              <w:rPr>
                <w:rFonts w:ascii="Verdana" w:hAnsi="Verdana" w:cs="Times New Roman"/>
                <w:b/>
                <w:color w:val="auto"/>
                <w:sz w:val="20"/>
                <w:szCs w:val="20"/>
              </w:rPr>
            </w:pPr>
          </w:p>
          <w:p w14:paraId="14F66190" w14:textId="77777777" w:rsidR="00F523C3" w:rsidRPr="00F523C3" w:rsidRDefault="00F523C3" w:rsidP="007137FE">
            <w:pPr>
              <w:spacing w:line="360" w:lineRule="auto"/>
              <w:ind w:left="227" w:right="227"/>
              <w:jc w:val="both"/>
              <w:rPr>
                <w:rFonts w:ascii="Verdana" w:hAnsi="Verdana" w:cs="Times New Roman"/>
                <w:b/>
                <w:color w:val="auto"/>
                <w:sz w:val="20"/>
                <w:szCs w:val="20"/>
              </w:rPr>
            </w:pPr>
          </w:p>
        </w:tc>
      </w:tr>
      <w:tr w:rsidR="00F523C3" w:rsidRPr="00F523C3" w14:paraId="3A1B139E" w14:textId="77777777" w:rsidTr="007137FE">
        <w:tc>
          <w:tcPr>
            <w:tcW w:w="9215" w:type="dxa"/>
          </w:tcPr>
          <w:p w14:paraId="46521567" w14:textId="77777777" w:rsidR="00F523C3" w:rsidRPr="00F523C3" w:rsidRDefault="00F523C3" w:rsidP="007137FE">
            <w:pPr>
              <w:ind w:left="227" w:right="227"/>
              <w:jc w:val="both"/>
              <w:rPr>
                <w:rFonts w:ascii="Verdana" w:hAnsi="Verdana" w:cs="Times New Roman"/>
                <w:sz w:val="20"/>
                <w:szCs w:val="20"/>
              </w:rPr>
            </w:pPr>
            <w:r w:rsidRPr="00F523C3">
              <w:rPr>
                <w:rFonts w:ascii="Verdana" w:hAnsi="Verdana" w:cs="Times New Roman"/>
                <w:b/>
                <w:sz w:val="20"/>
                <w:szCs w:val="20"/>
              </w:rPr>
              <w:t>δ. Για τη διάθεση προϊόντων αλιείας:</w:t>
            </w:r>
            <w:r w:rsidRPr="00F523C3">
              <w:rPr>
                <w:rFonts w:ascii="Verdana" w:hAnsi="Verdana" w:cs="Times New Roman"/>
                <w:sz w:val="20"/>
                <w:szCs w:val="20"/>
              </w:rPr>
              <w:t xml:space="preserve"> Βεβαίωση σε ισχύ του Τμήματος Αλιείας της Διεύθυνσης Αγροτικής Οικονομίας και Κτηνιατρικής της οικείας Περιφερειακής Ενότητας, στην οποία αναγράφονται τα πλήρη στοιχεία του αλιευτικού σκάφους, το ιδιοκτησιακό του καθεστώς, τα χρησιμοποιούμενα αλιευτικά εργαλεία, τα είδη ψαριών που αλιεύονται, οι συνολικές ποσότητες ανά είδος, καθώς και ότι το σκάφος βρίσκεται σε λειτουργία.</w:t>
            </w:r>
          </w:p>
        </w:tc>
        <w:tc>
          <w:tcPr>
            <w:tcW w:w="1276" w:type="dxa"/>
          </w:tcPr>
          <w:p w14:paraId="560BDA39" w14:textId="77777777" w:rsidR="00F523C3" w:rsidRPr="00F523C3" w:rsidRDefault="00F523C3" w:rsidP="007137FE">
            <w:pPr>
              <w:spacing w:line="360" w:lineRule="auto"/>
              <w:ind w:left="227" w:right="227"/>
              <w:jc w:val="both"/>
              <w:rPr>
                <w:rFonts w:ascii="Verdana" w:hAnsi="Verdana" w:cs="Times New Roman"/>
                <w:b/>
                <w:color w:val="auto"/>
                <w:sz w:val="20"/>
                <w:szCs w:val="20"/>
              </w:rPr>
            </w:pPr>
          </w:p>
          <w:p w14:paraId="1FBF9354" w14:textId="77777777" w:rsidR="00F523C3" w:rsidRPr="00F523C3" w:rsidRDefault="00F523C3" w:rsidP="007137FE">
            <w:pPr>
              <w:spacing w:line="360" w:lineRule="auto"/>
              <w:ind w:left="227" w:right="227"/>
              <w:jc w:val="both"/>
              <w:rPr>
                <w:rFonts w:ascii="Verdana" w:hAnsi="Verdana" w:cs="Times New Roman"/>
                <w:b/>
                <w:color w:val="auto"/>
                <w:sz w:val="20"/>
                <w:szCs w:val="20"/>
              </w:rPr>
            </w:pPr>
          </w:p>
          <w:p w14:paraId="1383B018" w14:textId="77777777" w:rsidR="00F523C3" w:rsidRPr="00F523C3" w:rsidRDefault="00F523C3" w:rsidP="007137FE">
            <w:pPr>
              <w:spacing w:line="360" w:lineRule="auto"/>
              <w:ind w:right="227"/>
              <w:jc w:val="both"/>
              <w:rPr>
                <w:rFonts w:ascii="Verdana" w:hAnsi="Verdana" w:cs="Times New Roman"/>
                <w:b/>
                <w:color w:val="auto"/>
                <w:sz w:val="20"/>
                <w:szCs w:val="20"/>
              </w:rPr>
            </w:pPr>
          </w:p>
          <w:p w14:paraId="3E07537F" w14:textId="77777777" w:rsidR="00F523C3" w:rsidRPr="00F523C3" w:rsidRDefault="00F523C3" w:rsidP="007137FE">
            <w:pPr>
              <w:spacing w:line="360" w:lineRule="auto"/>
              <w:ind w:right="227"/>
              <w:jc w:val="both"/>
              <w:rPr>
                <w:rFonts w:ascii="Verdana" w:hAnsi="Verdana" w:cs="Times New Roman"/>
                <w:b/>
                <w:color w:val="auto"/>
                <w:sz w:val="20"/>
                <w:szCs w:val="20"/>
              </w:rPr>
            </w:pPr>
          </w:p>
        </w:tc>
      </w:tr>
      <w:tr w:rsidR="00F523C3" w:rsidRPr="00F523C3" w14:paraId="3F9FF92A" w14:textId="77777777" w:rsidTr="007137FE">
        <w:trPr>
          <w:trHeight w:val="77"/>
        </w:trPr>
        <w:tc>
          <w:tcPr>
            <w:tcW w:w="9215" w:type="dxa"/>
          </w:tcPr>
          <w:p w14:paraId="3BCC5E21" w14:textId="77777777" w:rsidR="00F523C3" w:rsidRPr="00F523C3" w:rsidRDefault="00F523C3" w:rsidP="007137FE">
            <w:pPr>
              <w:ind w:left="227" w:right="227"/>
              <w:jc w:val="both"/>
              <w:rPr>
                <w:rFonts w:ascii="Verdana" w:hAnsi="Verdana" w:cs="Times New Roman"/>
                <w:sz w:val="20"/>
                <w:szCs w:val="20"/>
              </w:rPr>
            </w:pPr>
            <w:r w:rsidRPr="00F523C3">
              <w:rPr>
                <w:rFonts w:ascii="Verdana" w:hAnsi="Verdana" w:cs="Times New Roman"/>
                <w:b/>
                <w:sz w:val="20"/>
                <w:szCs w:val="20"/>
              </w:rPr>
              <w:t>ε. Για τη διάθεση αλιευμάτων υδατοκαλλιεργειών:</w:t>
            </w:r>
            <w:r w:rsidRPr="00F523C3">
              <w:rPr>
                <w:rFonts w:ascii="Verdana" w:hAnsi="Verdana" w:cs="Times New Roman"/>
                <w:sz w:val="20"/>
                <w:szCs w:val="20"/>
              </w:rPr>
              <w:t xml:space="preserve"> Βεβαίωση του Τμήματος Αλιείας της Διεύθυνσης Αγροτικής Οικονομίας και Κτηνιατρικής της οικείας Περιφερειακής Ενότητας, από την οποία προκύπτει ότι η μονάδα είναι σε λειτουργία και στην οποία αναφέρονται τα είδη και οι ποσότητες των παραγόμενων αλιευμάτων. </w:t>
            </w:r>
          </w:p>
        </w:tc>
        <w:tc>
          <w:tcPr>
            <w:tcW w:w="1276" w:type="dxa"/>
          </w:tcPr>
          <w:p w14:paraId="2A43E7A4" w14:textId="77777777" w:rsidR="00F523C3" w:rsidRPr="00F523C3" w:rsidRDefault="00F523C3" w:rsidP="007137FE">
            <w:pPr>
              <w:spacing w:line="360" w:lineRule="auto"/>
              <w:ind w:left="227" w:right="227"/>
              <w:jc w:val="both"/>
              <w:rPr>
                <w:rFonts w:ascii="Verdana" w:hAnsi="Verdana" w:cs="Times New Roman"/>
                <w:b/>
                <w:color w:val="auto"/>
                <w:sz w:val="20"/>
                <w:szCs w:val="20"/>
              </w:rPr>
            </w:pPr>
          </w:p>
          <w:p w14:paraId="0A1A3548" w14:textId="77777777" w:rsidR="00F523C3" w:rsidRPr="00F523C3" w:rsidRDefault="00F523C3" w:rsidP="007137FE">
            <w:pPr>
              <w:spacing w:line="360" w:lineRule="auto"/>
              <w:ind w:left="227" w:right="227"/>
              <w:jc w:val="both"/>
              <w:rPr>
                <w:rFonts w:ascii="Verdana" w:hAnsi="Verdana" w:cs="Times New Roman"/>
                <w:b/>
                <w:color w:val="auto"/>
                <w:sz w:val="20"/>
                <w:szCs w:val="20"/>
              </w:rPr>
            </w:pPr>
          </w:p>
          <w:p w14:paraId="2A7AAF33" w14:textId="77777777" w:rsidR="00F523C3" w:rsidRPr="00F523C3" w:rsidRDefault="00F523C3" w:rsidP="007137FE">
            <w:pPr>
              <w:spacing w:line="360" w:lineRule="auto"/>
              <w:ind w:right="227"/>
              <w:jc w:val="both"/>
              <w:rPr>
                <w:rFonts w:ascii="Verdana" w:hAnsi="Verdana" w:cs="Times New Roman"/>
                <w:b/>
                <w:color w:val="auto"/>
                <w:sz w:val="20"/>
                <w:szCs w:val="20"/>
              </w:rPr>
            </w:pPr>
          </w:p>
        </w:tc>
      </w:tr>
      <w:tr w:rsidR="00F523C3" w:rsidRPr="00F523C3" w14:paraId="46D551FF" w14:textId="77777777" w:rsidTr="007137FE">
        <w:tc>
          <w:tcPr>
            <w:tcW w:w="9215" w:type="dxa"/>
          </w:tcPr>
          <w:p w14:paraId="77269E97" w14:textId="77777777" w:rsidR="00F523C3" w:rsidRPr="00F523C3" w:rsidRDefault="00F523C3" w:rsidP="007137FE">
            <w:pPr>
              <w:ind w:left="227" w:right="227"/>
              <w:jc w:val="both"/>
              <w:rPr>
                <w:rFonts w:ascii="Verdana" w:hAnsi="Verdana" w:cs="Times New Roman"/>
                <w:sz w:val="20"/>
                <w:szCs w:val="20"/>
              </w:rPr>
            </w:pPr>
            <w:r w:rsidRPr="00F523C3">
              <w:rPr>
                <w:rFonts w:ascii="Verdana" w:hAnsi="Verdana" w:cs="Times New Roman"/>
                <w:b/>
                <w:sz w:val="20"/>
                <w:szCs w:val="20"/>
              </w:rPr>
              <w:t xml:space="preserve">στ. Για τη διάθεση προϊόντος απόσταξης μικρών αποσταγματοποιών (διήμερων): </w:t>
            </w:r>
            <w:r w:rsidRPr="00F523C3">
              <w:rPr>
                <w:rFonts w:ascii="Verdana" w:hAnsi="Verdana" w:cs="Times New Roman"/>
                <w:sz w:val="20"/>
                <w:szCs w:val="20"/>
              </w:rPr>
              <w:t>Άδεια απόσταξης του αρμόδιου τελωνείου σύμφωνα με τις παραγράφους Ε.3 και Ε.8 του άρθρου 7 του ν. 2969/2001 (Α' 281).</w:t>
            </w:r>
          </w:p>
        </w:tc>
        <w:tc>
          <w:tcPr>
            <w:tcW w:w="1276" w:type="dxa"/>
          </w:tcPr>
          <w:p w14:paraId="1F9EFAFF" w14:textId="77777777" w:rsidR="00F523C3" w:rsidRPr="00F523C3" w:rsidRDefault="00F523C3" w:rsidP="007137FE">
            <w:pPr>
              <w:spacing w:line="360" w:lineRule="auto"/>
              <w:ind w:left="227" w:right="227"/>
              <w:jc w:val="both"/>
              <w:rPr>
                <w:rFonts w:ascii="Verdana" w:hAnsi="Verdana" w:cs="Times New Roman"/>
                <w:b/>
                <w:color w:val="auto"/>
                <w:sz w:val="20"/>
                <w:szCs w:val="20"/>
              </w:rPr>
            </w:pPr>
          </w:p>
          <w:p w14:paraId="310FD118" w14:textId="77777777" w:rsidR="00F523C3" w:rsidRPr="00F523C3" w:rsidRDefault="00F523C3" w:rsidP="007137FE">
            <w:pPr>
              <w:spacing w:line="360" w:lineRule="auto"/>
              <w:ind w:left="227" w:right="227"/>
              <w:jc w:val="both"/>
              <w:rPr>
                <w:rFonts w:ascii="Verdana" w:hAnsi="Verdana" w:cs="Times New Roman"/>
                <w:b/>
                <w:color w:val="auto"/>
                <w:sz w:val="20"/>
                <w:szCs w:val="20"/>
              </w:rPr>
            </w:pPr>
          </w:p>
        </w:tc>
      </w:tr>
      <w:tr w:rsidR="00F523C3" w:rsidRPr="00F523C3" w14:paraId="36B05E7A" w14:textId="77777777" w:rsidTr="007137FE">
        <w:tc>
          <w:tcPr>
            <w:tcW w:w="9215" w:type="dxa"/>
            <w:tcBorders>
              <w:bottom w:val="single" w:sz="4" w:space="0" w:color="auto"/>
            </w:tcBorders>
          </w:tcPr>
          <w:p w14:paraId="00B77A09" w14:textId="77777777" w:rsidR="00F523C3" w:rsidRPr="00F523C3" w:rsidRDefault="00F523C3" w:rsidP="0001227E">
            <w:pPr>
              <w:ind w:left="227" w:right="227"/>
              <w:jc w:val="both"/>
              <w:rPr>
                <w:rFonts w:ascii="Verdana" w:hAnsi="Verdana" w:cs="Times New Roman"/>
                <w:sz w:val="20"/>
                <w:szCs w:val="20"/>
              </w:rPr>
            </w:pPr>
            <w:r w:rsidRPr="00F523C3">
              <w:rPr>
                <w:rFonts w:ascii="Verdana" w:hAnsi="Verdana" w:cs="Times New Roman"/>
                <w:b/>
                <w:sz w:val="20"/>
                <w:szCs w:val="20"/>
              </w:rPr>
              <w:t xml:space="preserve">ζ. Για τη διάθεση των προϊόντων οικοτεχνίας του άρθρου 3 της </w:t>
            </w:r>
            <w:r w:rsidR="0001227E">
              <w:rPr>
                <w:rFonts w:ascii="Verdana" w:hAnsi="Verdana" w:cs="Times New Roman"/>
                <w:b/>
                <w:sz w:val="20"/>
                <w:szCs w:val="20"/>
              </w:rPr>
              <w:t xml:space="preserve">υπ’ αρ. </w:t>
            </w:r>
            <w:r w:rsidRPr="00F523C3">
              <w:rPr>
                <w:rFonts w:ascii="Verdana" w:hAnsi="Verdana" w:cs="Times New Roman"/>
                <w:b/>
                <w:sz w:val="20"/>
                <w:szCs w:val="20"/>
              </w:rPr>
              <w:t xml:space="preserve">4912/120862/5.11.2015 </w:t>
            </w:r>
            <w:r w:rsidR="0001227E">
              <w:rPr>
                <w:rFonts w:ascii="Verdana" w:hAnsi="Verdana" w:cs="Times New Roman"/>
                <w:b/>
                <w:sz w:val="20"/>
                <w:szCs w:val="20"/>
              </w:rPr>
              <w:t xml:space="preserve">(Β΄2468) </w:t>
            </w:r>
            <w:r w:rsidRPr="00F523C3">
              <w:rPr>
                <w:rFonts w:ascii="Verdana" w:hAnsi="Verdana" w:cs="Times New Roman"/>
                <w:b/>
                <w:sz w:val="20"/>
                <w:szCs w:val="20"/>
              </w:rPr>
              <w:t>απόφασης του Υπουργού Α</w:t>
            </w:r>
            <w:r w:rsidR="0001227E">
              <w:rPr>
                <w:rFonts w:ascii="Verdana" w:hAnsi="Verdana" w:cs="Times New Roman"/>
                <w:b/>
                <w:sz w:val="20"/>
                <w:szCs w:val="20"/>
              </w:rPr>
              <w:t>γροτικής Ανάπτυξης και Τροφίμων</w:t>
            </w:r>
            <w:r w:rsidRPr="00F523C3">
              <w:rPr>
                <w:rFonts w:ascii="Verdana" w:hAnsi="Verdana" w:cs="Times New Roman"/>
                <w:b/>
                <w:sz w:val="20"/>
                <w:szCs w:val="20"/>
              </w:rPr>
              <w:t>:</w:t>
            </w:r>
            <w:r w:rsidRPr="00F523C3">
              <w:rPr>
                <w:rFonts w:ascii="Verdana" w:hAnsi="Verdana" w:cs="Times New Roman"/>
                <w:sz w:val="20"/>
                <w:szCs w:val="20"/>
              </w:rPr>
              <w:t>. Βεβαίωση του Κεντρικού Ηλεκτρονικού Μητρώου Οικοτεχνίας (Κ.Η.Μ.Ο.) σε ισχύ.</w:t>
            </w:r>
          </w:p>
        </w:tc>
        <w:tc>
          <w:tcPr>
            <w:tcW w:w="1276" w:type="dxa"/>
            <w:tcBorders>
              <w:bottom w:val="single" w:sz="4" w:space="0" w:color="auto"/>
            </w:tcBorders>
          </w:tcPr>
          <w:p w14:paraId="19D148F2" w14:textId="77777777" w:rsidR="00F523C3" w:rsidRPr="00F523C3" w:rsidRDefault="00F523C3" w:rsidP="007137FE">
            <w:pPr>
              <w:autoSpaceDE w:val="0"/>
              <w:autoSpaceDN w:val="0"/>
              <w:adjustRightInd w:val="0"/>
              <w:ind w:left="227" w:right="227"/>
              <w:jc w:val="both"/>
              <w:rPr>
                <w:rFonts w:ascii="Verdana" w:hAnsi="Verdana" w:cs="Times New Roman"/>
                <w:sz w:val="20"/>
                <w:szCs w:val="20"/>
              </w:rPr>
            </w:pPr>
          </w:p>
          <w:p w14:paraId="0CE81CB2" w14:textId="77777777" w:rsidR="00F523C3" w:rsidRPr="00F523C3" w:rsidRDefault="00F523C3" w:rsidP="007137FE">
            <w:pPr>
              <w:autoSpaceDE w:val="0"/>
              <w:autoSpaceDN w:val="0"/>
              <w:adjustRightInd w:val="0"/>
              <w:ind w:left="227" w:right="227"/>
              <w:jc w:val="both"/>
              <w:rPr>
                <w:rFonts w:ascii="Verdana" w:hAnsi="Verdana" w:cs="Times New Roman"/>
                <w:sz w:val="20"/>
                <w:szCs w:val="20"/>
              </w:rPr>
            </w:pPr>
          </w:p>
          <w:p w14:paraId="3FA1A128" w14:textId="77777777" w:rsidR="00F523C3" w:rsidRPr="00F523C3" w:rsidRDefault="00F523C3" w:rsidP="007137FE">
            <w:pPr>
              <w:autoSpaceDE w:val="0"/>
              <w:autoSpaceDN w:val="0"/>
              <w:adjustRightInd w:val="0"/>
              <w:ind w:left="227" w:right="227"/>
              <w:jc w:val="both"/>
              <w:rPr>
                <w:rFonts w:ascii="Verdana" w:hAnsi="Verdana" w:cs="Times New Roman"/>
                <w:sz w:val="20"/>
                <w:szCs w:val="20"/>
              </w:rPr>
            </w:pPr>
          </w:p>
        </w:tc>
      </w:tr>
      <w:tr w:rsidR="00F523C3" w:rsidRPr="00F523C3" w14:paraId="62FF99B0" w14:textId="77777777" w:rsidTr="007137FE">
        <w:tc>
          <w:tcPr>
            <w:tcW w:w="9215" w:type="dxa"/>
            <w:tcBorders>
              <w:bottom w:val="single" w:sz="4" w:space="0" w:color="auto"/>
            </w:tcBorders>
          </w:tcPr>
          <w:p w14:paraId="27252F83" w14:textId="77777777" w:rsidR="00F523C3" w:rsidRPr="00F523C3" w:rsidRDefault="00F523C3" w:rsidP="0001227E">
            <w:pPr>
              <w:ind w:left="227" w:right="227"/>
              <w:jc w:val="both"/>
              <w:rPr>
                <w:rFonts w:ascii="Verdana" w:hAnsi="Verdana" w:cs="Times New Roman"/>
                <w:b/>
                <w:color w:val="auto"/>
                <w:sz w:val="20"/>
                <w:szCs w:val="20"/>
              </w:rPr>
            </w:pPr>
            <w:r w:rsidRPr="00F523C3">
              <w:rPr>
                <w:rFonts w:ascii="Verdana" w:hAnsi="Verdana" w:cs="Times New Roman"/>
                <w:b/>
                <w:sz w:val="20"/>
                <w:szCs w:val="20"/>
              </w:rPr>
              <w:t>η. Για τη διάθεση πολλαπλασιαστικού υλικού καλλιεργούμενων φυτικών ειδών:</w:t>
            </w:r>
            <w:r w:rsidRPr="00F523C3">
              <w:rPr>
                <w:rFonts w:ascii="Verdana" w:hAnsi="Verdana" w:cs="Times New Roman"/>
                <w:sz w:val="20"/>
                <w:szCs w:val="20"/>
              </w:rPr>
              <w:t xml:space="preserve"> Βεβαίωση Συνδρομής των Νομίμων Προϋποθέσεων, όπως προβλέπεται στην παρ. 3 του άρθρου 4 της </w:t>
            </w:r>
            <w:r w:rsidR="0001227E">
              <w:rPr>
                <w:rFonts w:ascii="Verdana" w:hAnsi="Verdana" w:cs="Times New Roman"/>
                <w:sz w:val="20"/>
                <w:szCs w:val="20"/>
              </w:rPr>
              <w:t>υπ’ αρ</w:t>
            </w:r>
            <w:r w:rsidRPr="00F523C3">
              <w:rPr>
                <w:rFonts w:ascii="Verdana" w:hAnsi="Verdana" w:cs="Times New Roman"/>
                <w:sz w:val="20"/>
                <w:szCs w:val="20"/>
              </w:rPr>
              <w:t xml:space="preserve">. 2078/80743/25.7.2017 </w:t>
            </w:r>
            <w:r w:rsidR="0001227E" w:rsidRPr="00F523C3">
              <w:rPr>
                <w:rFonts w:ascii="Verdana" w:hAnsi="Verdana" w:cs="Times New Roman"/>
                <w:sz w:val="20"/>
                <w:szCs w:val="20"/>
              </w:rPr>
              <w:t>(Β' 2679)</w:t>
            </w:r>
            <w:r w:rsidRPr="00F523C3">
              <w:rPr>
                <w:rFonts w:ascii="Verdana" w:hAnsi="Verdana" w:cs="Times New Roman"/>
                <w:sz w:val="20"/>
                <w:szCs w:val="20"/>
              </w:rPr>
              <w:t xml:space="preserve"> </w:t>
            </w:r>
            <w:r w:rsidR="0001227E">
              <w:rPr>
                <w:rFonts w:ascii="Verdana" w:hAnsi="Verdana" w:cs="Times New Roman"/>
                <w:sz w:val="20"/>
                <w:szCs w:val="20"/>
              </w:rPr>
              <w:t xml:space="preserve"> κοινής </w:t>
            </w:r>
            <w:r w:rsidRPr="00F523C3">
              <w:rPr>
                <w:rFonts w:ascii="Verdana" w:hAnsi="Verdana" w:cs="Times New Roman"/>
                <w:sz w:val="20"/>
                <w:szCs w:val="20"/>
              </w:rPr>
              <w:t>απόφασης των Υπουργών Οικονομικών και Αγροτικής Ανάπτυξης και  Τροφίμων, εκτός των περιπτώσεων παραγωγής πολλαπλασιαστικού υλικού ανθοκομικών ειδών που καθορίζονται με  την υπουργική απόφαση του τετάρτου εδαφίου της παρ. 1  του άρθρου 5 του ν. 1564/1985 (Α΄164).</w:t>
            </w:r>
          </w:p>
        </w:tc>
        <w:tc>
          <w:tcPr>
            <w:tcW w:w="1276" w:type="dxa"/>
            <w:tcBorders>
              <w:bottom w:val="single" w:sz="4" w:space="0" w:color="auto"/>
            </w:tcBorders>
          </w:tcPr>
          <w:p w14:paraId="589C691D" w14:textId="77777777" w:rsidR="00F523C3" w:rsidRPr="00F523C3" w:rsidRDefault="00F523C3" w:rsidP="007137FE">
            <w:pPr>
              <w:autoSpaceDE w:val="0"/>
              <w:autoSpaceDN w:val="0"/>
              <w:adjustRightInd w:val="0"/>
              <w:spacing w:line="360" w:lineRule="auto"/>
              <w:ind w:left="227" w:right="227"/>
              <w:jc w:val="both"/>
              <w:rPr>
                <w:rFonts w:ascii="Verdana" w:hAnsi="Verdana" w:cs="Times New Roman"/>
                <w:sz w:val="20"/>
                <w:szCs w:val="20"/>
              </w:rPr>
            </w:pPr>
          </w:p>
          <w:p w14:paraId="0379640B" w14:textId="77777777" w:rsidR="00F523C3" w:rsidRPr="00F523C3" w:rsidRDefault="00F523C3" w:rsidP="007137FE">
            <w:pPr>
              <w:autoSpaceDE w:val="0"/>
              <w:autoSpaceDN w:val="0"/>
              <w:adjustRightInd w:val="0"/>
              <w:spacing w:line="360" w:lineRule="auto"/>
              <w:ind w:left="227" w:right="227"/>
              <w:jc w:val="both"/>
              <w:rPr>
                <w:rFonts w:ascii="Verdana" w:hAnsi="Verdana" w:cs="Times New Roman"/>
                <w:sz w:val="20"/>
                <w:szCs w:val="20"/>
              </w:rPr>
            </w:pPr>
          </w:p>
        </w:tc>
      </w:tr>
      <w:tr w:rsidR="00F523C3" w:rsidRPr="00F523C3" w14:paraId="70A51CB7" w14:textId="77777777" w:rsidTr="007137FE">
        <w:tc>
          <w:tcPr>
            <w:tcW w:w="9215" w:type="dxa"/>
            <w:tcBorders>
              <w:top w:val="single" w:sz="4" w:space="0" w:color="auto"/>
            </w:tcBorders>
          </w:tcPr>
          <w:p w14:paraId="02B7EEC6" w14:textId="77777777" w:rsidR="00F523C3" w:rsidRPr="00F523C3" w:rsidRDefault="00F523C3" w:rsidP="0001227E">
            <w:pPr>
              <w:ind w:left="227" w:right="227"/>
              <w:jc w:val="both"/>
              <w:rPr>
                <w:rFonts w:ascii="Verdana" w:hAnsi="Verdana" w:cs="Times New Roman"/>
                <w:sz w:val="20"/>
                <w:szCs w:val="20"/>
              </w:rPr>
            </w:pPr>
            <w:r w:rsidRPr="00F523C3">
              <w:rPr>
                <w:rFonts w:ascii="Verdana" w:hAnsi="Verdana" w:cs="Times New Roman"/>
                <w:b/>
                <w:sz w:val="20"/>
                <w:szCs w:val="20"/>
              </w:rPr>
              <w:t>θ. Για τη διάθεση εμφιαλωμένου οίνου:</w:t>
            </w:r>
            <w:r w:rsidRPr="00F523C3">
              <w:rPr>
                <w:rFonts w:ascii="Verdana" w:hAnsi="Verdana" w:cs="Times New Roman"/>
                <w:sz w:val="20"/>
                <w:szCs w:val="20"/>
              </w:rPr>
              <w:t xml:space="preserve"> Δήλωση συγκομιδής, δήλωση παραγωγής οίνων και γλευκών, δήλωση αποθεμάτων προηγούμενου έτους, αν υπάρχει, και αντίγραφο της δήλωσης του μικρού οινοπαραγωγού που υποβάλλεται στην αρμόδια Τελωνειακή Αρχή, σύμφωνα με</w:t>
            </w:r>
            <w:r w:rsidR="0001227E">
              <w:rPr>
                <w:rFonts w:ascii="Verdana" w:hAnsi="Verdana" w:cs="Times New Roman"/>
                <w:sz w:val="20"/>
                <w:szCs w:val="20"/>
              </w:rPr>
              <w:t xml:space="preserve"> την παρ. 1 του άρθρου 4 της υπό στοιχεία</w:t>
            </w:r>
            <w:r w:rsidRPr="00F523C3">
              <w:rPr>
                <w:rFonts w:ascii="Verdana" w:hAnsi="Verdana" w:cs="Times New Roman"/>
                <w:sz w:val="20"/>
                <w:szCs w:val="20"/>
              </w:rPr>
              <w:t xml:space="preserve"> ΔΕΦΚΦΒ-5026381 ΕΞ 2015/16.12.2015 (Β'2785) </w:t>
            </w:r>
            <w:r w:rsidR="0001227E">
              <w:rPr>
                <w:rFonts w:ascii="Verdana" w:hAnsi="Verdana" w:cs="Times New Roman"/>
                <w:sz w:val="20"/>
                <w:szCs w:val="20"/>
              </w:rPr>
              <w:t>απόφασης του Υπουργού Οικονομικών</w:t>
            </w:r>
            <w:r w:rsidRPr="00F523C3">
              <w:rPr>
                <w:rFonts w:ascii="Verdana" w:hAnsi="Verdana" w:cs="Times New Roman"/>
                <w:sz w:val="20"/>
                <w:szCs w:val="20"/>
              </w:rPr>
              <w:t>.</w:t>
            </w:r>
          </w:p>
        </w:tc>
        <w:tc>
          <w:tcPr>
            <w:tcW w:w="1276" w:type="dxa"/>
            <w:tcBorders>
              <w:top w:val="single" w:sz="4" w:space="0" w:color="auto"/>
            </w:tcBorders>
          </w:tcPr>
          <w:p w14:paraId="654FE2BE" w14:textId="77777777" w:rsidR="00F523C3" w:rsidRPr="00F523C3" w:rsidRDefault="00F523C3" w:rsidP="007137FE">
            <w:pPr>
              <w:spacing w:line="360" w:lineRule="auto"/>
              <w:ind w:left="227" w:right="227"/>
              <w:jc w:val="both"/>
              <w:rPr>
                <w:rFonts w:ascii="Verdana" w:hAnsi="Verdana" w:cs="Times New Roman"/>
                <w:b/>
                <w:color w:val="auto"/>
                <w:sz w:val="20"/>
                <w:szCs w:val="20"/>
              </w:rPr>
            </w:pPr>
          </w:p>
          <w:p w14:paraId="44BA716F" w14:textId="77777777" w:rsidR="00F523C3" w:rsidRPr="00F523C3" w:rsidRDefault="00F523C3" w:rsidP="007137FE">
            <w:pPr>
              <w:rPr>
                <w:rFonts w:ascii="Verdana" w:hAnsi="Verdana" w:cs="Times New Roman"/>
                <w:sz w:val="20"/>
                <w:szCs w:val="20"/>
              </w:rPr>
            </w:pPr>
          </w:p>
          <w:p w14:paraId="3F9E9B12" w14:textId="77777777" w:rsidR="00F523C3" w:rsidRPr="00F523C3" w:rsidRDefault="00F523C3" w:rsidP="007137FE">
            <w:pPr>
              <w:rPr>
                <w:rFonts w:ascii="Verdana" w:hAnsi="Verdana" w:cs="Times New Roman"/>
                <w:sz w:val="20"/>
                <w:szCs w:val="20"/>
              </w:rPr>
            </w:pPr>
          </w:p>
          <w:p w14:paraId="42AFE305" w14:textId="77777777" w:rsidR="00F523C3" w:rsidRPr="00F523C3" w:rsidRDefault="00F523C3" w:rsidP="007137FE">
            <w:pPr>
              <w:rPr>
                <w:rFonts w:ascii="Verdana" w:hAnsi="Verdana" w:cs="Times New Roman"/>
                <w:sz w:val="20"/>
                <w:szCs w:val="20"/>
              </w:rPr>
            </w:pPr>
          </w:p>
        </w:tc>
      </w:tr>
      <w:tr w:rsidR="00F523C3" w:rsidRPr="00F523C3" w14:paraId="643424AC" w14:textId="77777777" w:rsidTr="007137FE">
        <w:tc>
          <w:tcPr>
            <w:tcW w:w="9215" w:type="dxa"/>
          </w:tcPr>
          <w:p w14:paraId="094B99E3" w14:textId="77777777" w:rsidR="00F523C3" w:rsidRPr="00F523C3" w:rsidRDefault="00F523C3" w:rsidP="007137FE">
            <w:pPr>
              <w:ind w:left="227" w:right="227"/>
              <w:jc w:val="both"/>
              <w:rPr>
                <w:rFonts w:ascii="Verdana" w:hAnsi="Verdana" w:cs="Times New Roman"/>
                <w:b/>
                <w:color w:val="auto"/>
                <w:sz w:val="20"/>
                <w:szCs w:val="20"/>
              </w:rPr>
            </w:pPr>
            <w:r w:rsidRPr="00F523C3">
              <w:rPr>
                <w:rFonts w:ascii="Verdana" w:hAnsi="Verdana" w:cs="Times New Roman"/>
                <w:b/>
                <w:sz w:val="20"/>
                <w:szCs w:val="20"/>
              </w:rPr>
              <w:t>ι. Για τη διάθεση μεταποιημένων προϊόντων που δεν μεταποιούνται σε εγκατάσταση του παραγωγού, αλλά σε μη ιδιόκτητες εγκαταστάσεις:</w:t>
            </w:r>
            <w:r w:rsidRPr="00F523C3">
              <w:rPr>
                <w:rFonts w:ascii="Verdana" w:hAnsi="Verdana" w:cs="Times New Roman"/>
                <w:sz w:val="20"/>
                <w:szCs w:val="20"/>
              </w:rPr>
              <w:t xml:space="preserve"> Άδεια λειτουργίας ή άδεια προέγκρισης της εγκατάστασης. Επιπλέον, ο παραγωγός πρέπει ανά πάσα στιγμή να έχει διαθέσιμα τα παραστατικά στοιχεία από τα οποία </w:t>
            </w:r>
            <w:r w:rsidRPr="00F523C3">
              <w:rPr>
                <w:rFonts w:ascii="Verdana" w:hAnsi="Verdana" w:cs="Times New Roman"/>
                <w:sz w:val="20"/>
                <w:szCs w:val="20"/>
              </w:rPr>
              <w:lastRenderedPageBreak/>
              <w:t>προκύπτουν οι ποσότητες του προϊόντος που παραδόθηκαν στην εγκατάσταση μεταποίησης και αντίστοιχα οι τελικές ποσότητες των προϊόντων που παρέλαβε.</w:t>
            </w:r>
          </w:p>
        </w:tc>
        <w:tc>
          <w:tcPr>
            <w:tcW w:w="1276" w:type="dxa"/>
          </w:tcPr>
          <w:p w14:paraId="345B4141" w14:textId="77777777" w:rsidR="00F523C3" w:rsidRPr="00F523C3" w:rsidRDefault="00F523C3" w:rsidP="007137FE">
            <w:pPr>
              <w:rPr>
                <w:rFonts w:ascii="Verdana" w:hAnsi="Verdana" w:cs="Times New Roman"/>
                <w:sz w:val="20"/>
                <w:szCs w:val="20"/>
              </w:rPr>
            </w:pPr>
          </w:p>
          <w:p w14:paraId="2BE31F66" w14:textId="77777777" w:rsidR="00F523C3" w:rsidRPr="00F523C3" w:rsidRDefault="00F523C3" w:rsidP="007137FE">
            <w:pPr>
              <w:rPr>
                <w:rFonts w:ascii="Verdana" w:hAnsi="Verdana" w:cs="Times New Roman"/>
                <w:sz w:val="20"/>
                <w:szCs w:val="20"/>
              </w:rPr>
            </w:pPr>
          </w:p>
          <w:p w14:paraId="43385C27" w14:textId="77777777" w:rsidR="00F523C3" w:rsidRPr="00F523C3" w:rsidRDefault="00F523C3" w:rsidP="007137FE">
            <w:pPr>
              <w:rPr>
                <w:rFonts w:ascii="Verdana" w:hAnsi="Verdana" w:cs="Times New Roman"/>
                <w:sz w:val="20"/>
                <w:szCs w:val="20"/>
              </w:rPr>
            </w:pPr>
          </w:p>
        </w:tc>
      </w:tr>
      <w:tr w:rsidR="00F523C3" w:rsidRPr="00F523C3" w14:paraId="1126F76F" w14:textId="77777777" w:rsidTr="007137FE">
        <w:tc>
          <w:tcPr>
            <w:tcW w:w="9215" w:type="dxa"/>
          </w:tcPr>
          <w:p w14:paraId="3F6FD8E4" w14:textId="77777777" w:rsidR="00F523C3" w:rsidRPr="00F523C3" w:rsidRDefault="00F523C3" w:rsidP="007137FE">
            <w:pPr>
              <w:ind w:left="227" w:right="227"/>
              <w:jc w:val="both"/>
              <w:rPr>
                <w:rFonts w:ascii="Verdana" w:hAnsi="Verdana" w:cs="Times New Roman"/>
                <w:sz w:val="20"/>
                <w:szCs w:val="20"/>
              </w:rPr>
            </w:pPr>
            <w:r w:rsidRPr="00F523C3">
              <w:rPr>
                <w:rFonts w:ascii="Verdana" w:hAnsi="Verdana" w:cs="Times New Roman"/>
                <w:b/>
                <w:sz w:val="20"/>
                <w:szCs w:val="20"/>
              </w:rPr>
              <w:t xml:space="preserve">ια. Για τη διάθεση γαλακτοκομικών προϊόντων: </w:t>
            </w:r>
            <w:r w:rsidRPr="00F523C3">
              <w:rPr>
                <w:rFonts w:ascii="Verdana" w:hAnsi="Verdana" w:cs="Times New Roman"/>
                <w:b/>
                <w:color w:val="auto"/>
                <w:sz w:val="20"/>
                <w:szCs w:val="20"/>
              </w:rPr>
              <w:t xml:space="preserve">ιαα. </w:t>
            </w:r>
            <w:r w:rsidRPr="00F523C3">
              <w:rPr>
                <w:rFonts w:ascii="Verdana" w:hAnsi="Verdana" w:cs="Times New Roman"/>
                <w:sz w:val="20"/>
                <w:szCs w:val="20"/>
              </w:rPr>
              <w:t xml:space="preserve">Για τους κτηνοτρόφους που αξιοποιούν τα εθνικά μέτρα για την ιδιοπαραγωγή γαλακτοκομικών προϊόντων στην κτηνοτροφική τους εκμετάλλευση, σύμφωνα με το άρθρο 6 της </w:t>
            </w:r>
            <w:r w:rsidR="0001227E">
              <w:rPr>
                <w:rFonts w:ascii="Verdana" w:hAnsi="Verdana" w:cs="Times New Roman"/>
                <w:sz w:val="20"/>
                <w:szCs w:val="20"/>
              </w:rPr>
              <w:t xml:space="preserve">υπ’ αρ. </w:t>
            </w:r>
            <w:r w:rsidRPr="00F523C3">
              <w:rPr>
                <w:rFonts w:ascii="Verdana" w:hAnsi="Verdana" w:cs="Times New Roman"/>
                <w:sz w:val="20"/>
                <w:szCs w:val="20"/>
              </w:rPr>
              <w:t xml:space="preserve">3724/162303/22.12.2014 </w:t>
            </w:r>
            <w:r w:rsidR="0001227E">
              <w:rPr>
                <w:rFonts w:ascii="Verdana" w:hAnsi="Verdana" w:cs="Times New Roman"/>
                <w:sz w:val="20"/>
                <w:szCs w:val="20"/>
              </w:rPr>
              <w:t xml:space="preserve">(Β΄3438) </w:t>
            </w:r>
            <w:r w:rsidRPr="00F523C3">
              <w:rPr>
                <w:rFonts w:ascii="Verdana" w:hAnsi="Verdana" w:cs="Times New Roman"/>
                <w:sz w:val="20"/>
                <w:szCs w:val="20"/>
              </w:rPr>
              <w:t>κοινής απόφασης των Υπουργών Ανάπτυξης και Ανταγωνιστικότητας και Αγροτικής Ανάπτυξης και Τροφίμων:</w:t>
            </w:r>
          </w:p>
          <w:p w14:paraId="40E066B7" w14:textId="77777777" w:rsidR="00F523C3" w:rsidRPr="00F523C3" w:rsidRDefault="00F523C3" w:rsidP="007137FE">
            <w:pPr>
              <w:ind w:left="227" w:right="227"/>
              <w:jc w:val="both"/>
              <w:rPr>
                <w:rFonts w:ascii="Verdana" w:hAnsi="Verdana" w:cs="Times New Roman"/>
                <w:sz w:val="20"/>
                <w:szCs w:val="20"/>
              </w:rPr>
            </w:pPr>
            <w:r w:rsidRPr="00F523C3">
              <w:rPr>
                <w:rFonts w:ascii="Verdana" w:hAnsi="Verdana" w:cs="Times New Roman"/>
                <w:sz w:val="20"/>
                <w:szCs w:val="20"/>
                <w:lang w:val="en-US"/>
              </w:rPr>
              <w:t>i</w:t>
            </w:r>
            <w:r w:rsidRPr="00F523C3">
              <w:rPr>
                <w:rFonts w:ascii="Verdana" w:hAnsi="Verdana" w:cs="Times New Roman"/>
                <w:sz w:val="20"/>
                <w:szCs w:val="20"/>
              </w:rPr>
              <w:t>). βεβαίωση της κτηνιατρικής υπηρεσίας για την καταχώριση της εν λόγω δραστηριότητας,</w:t>
            </w:r>
          </w:p>
          <w:p w14:paraId="7BD143AF" w14:textId="77777777" w:rsidR="00F523C3" w:rsidRPr="00F523C3" w:rsidRDefault="00F523C3" w:rsidP="007137FE">
            <w:pPr>
              <w:ind w:left="227" w:right="227"/>
              <w:jc w:val="both"/>
              <w:rPr>
                <w:rFonts w:ascii="Verdana" w:hAnsi="Verdana" w:cs="Times New Roman"/>
                <w:sz w:val="20"/>
                <w:szCs w:val="20"/>
              </w:rPr>
            </w:pPr>
            <w:r w:rsidRPr="00F523C3">
              <w:rPr>
                <w:rFonts w:ascii="Verdana" w:hAnsi="Verdana" w:cs="Times New Roman"/>
                <w:sz w:val="20"/>
                <w:szCs w:val="20"/>
                <w:lang w:val="en-US"/>
              </w:rPr>
              <w:t>ii</w:t>
            </w:r>
            <w:r w:rsidRPr="00F523C3">
              <w:rPr>
                <w:rFonts w:ascii="Verdana" w:hAnsi="Verdana" w:cs="Times New Roman"/>
                <w:sz w:val="20"/>
                <w:szCs w:val="20"/>
              </w:rPr>
              <w:t>). βεβαίωση εγγραφής στο Κ.Η.Μ.Ο. για τα εν λόγω προϊόντα, σύμφωνα με την</w:t>
            </w:r>
            <w:r w:rsidR="0001227E">
              <w:rPr>
                <w:rFonts w:ascii="Verdana" w:hAnsi="Verdana" w:cs="Times New Roman"/>
                <w:sz w:val="20"/>
                <w:szCs w:val="20"/>
              </w:rPr>
              <w:t xml:space="preserve"> υπ’ αρ.</w:t>
            </w:r>
            <w:r w:rsidRPr="00F523C3">
              <w:rPr>
                <w:rFonts w:ascii="Verdana" w:hAnsi="Verdana" w:cs="Times New Roman"/>
                <w:sz w:val="20"/>
                <w:szCs w:val="20"/>
              </w:rPr>
              <w:t xml:space="preserve"> 4912/120862/5.11.2015 απόφαση του Υπουργού Αγροτικής Ανάπτυξης και Τροφίμων.</w:t>
            </w:r>
          </w:p>
        </w:tc>
        <w:tc>
          <w:tcPr>
            <w:tcW w:w="1276" w:type="dxa"/>
          </w:tcPr>
          <w:p w14:paraId="261E7C2C" w14:textId="77777777" w:rsidR="00F523C3" w:rsidRPr="00F523C3" w:rsidRDefault="00F523C3" w:rsidP="007137FE">
            <w:pPr>
              <w:spacing w:line="360" w:lineRule="auto"/>
              <w:ind w:left="227" w:right="227"/>
              <w:jc w:val="both"/>
              <w:rPr>
                <w:rFonts w:ascii="Verdana" w:hAnsi="Verdana" w:cs="Times New Roman"/>
                <w:b/>
                <w:color w:val="auto"/>
                <w:sz w:val="20"/>
                <w:szCs w:val="20"/>
              </w:rPr>
            </w:pPr>
          </w:p>
          <w:p w14:paraId="7A8E7787" w14:textId="77777777" w:rsidR="00F523C3" w:rsidRPr="00F523C3" w:rsidRDefault="00F523C3" w:rsidP="007137FE">
            <w:pPr>
              <w:rPr>
                <w:rFonts w:ascii="Verdana" w:hAnsi="Verdana" w:cs="Times New Roman"/>
                <w:sz w:val="20"/>
                <w:szCs w:val="20"/>
              </w:rPr>
            </w:pPr>
          </w:p>
          <w:p w14:paraId="468C6430" w14:textId="77777777" w:rsidR="00F523C3" w:rsidRPr="00F523C3" w:rsidRDefault="00F523C3" w:rsidP="007137FE">
            <w:pPr>
              <w:rPr>
                <w:rFonts w:ascii="Verdana" w:hAnsi="Verdana" w:cs="Times New Roman"/>
                <w:sz w:val="20"/>
                <w:szCs w:val="20"/>
              </w:rPr>
            </w:pPr>
          </w:p>
          <w:p w14:paraId="12EC5FE1" w14:textId="77777777" w:rsidR="00F523C3" w:rsidRPr="00F523C3" w:rsidRDefault="00F523C3" w:rsidP="007137FE">
            <w:pPr>
              <w:rPr>
                <w:rFonts w:ascii="Verdana" w:hAnsi="Verdana" w:cs="Times New Roman"/>
                <w:sz w:val="20"/>
                <w:szCs w:val="20"/>
              </w:rPr>
            </w:pPr>
          </w:p>
        </w:tc>
      </w:tr>
      <w:tr w:rsidR="00F523C3" w:rsidRPr="00F523C3" w14:paraId="40ACC676" w14:textId="77777777" w:rsidTr="007137FE">
        <w:tc>
          <w:tcPr>
            <w:tcW w:w="9215" w:type="dxa"/>
          </w:tcPr>
          <w:p w14:paraId="1EEF15BF" w14:textId="77777777" w:rsidR="00F523C3" w:rsidRPr="00F523C3" w:rsidRDefault="00F523C3" w:rsidP="007137FE">
            <w:pPr>
              <w:ind w:left="227" w:right="227"/>
              <w:jc w:val="both"/>
              <w:rPr>
                <w:rFonts w:ascii="Verdana" w:hAnsi="Verdana" w:cs="Times New Roman"/>
                <w:sz w:val="20"/>
                <w:szCs w:val="20"/>
              </w:rPr>
            </w:pPr>
            <w:r w:rsidRPr="00F523C3">
              <w:rPr>
                <w:rFonts w:ascii="Verdana" w:hAnsi="Verdana" w:cs="Times New Roman"/>
                <w:b/>
                <w:sz w:val="20"/>
                <w:szCs w:val="20"/>
              </w:rPr>
              <w:t xml:space="preserve">ια. Για τη διάθεση γαλακτοκομικών προϊόντων: </w:t>
            </w:r>
            <w:r w:rsidRPr="00F523C3">
              <w:rPr>
                <w:rFonts w:ascii="Verdana" w:hAnsi="Verdana" w:cs="Times New Roman"/>
                <w:b/>
                <w:bCs/>
                <w:sz w:val="20"/>
                <w:szCs w:val="20"/>
              </w:rPr>
              <w:t>ιαβ.</w:t>
            </w:r>
            <w:r w:rsidRPr="00F523C3">
              <w:rPr>
                <w:rFonts w:ascii="Verdana" w:hAnsi="Verdana" w:cs="Times New Roman"/>
                <w:sz w:val="20"/>
                <w:szCs w:val="20"/>
              </w:rPr>
              <w:t xml:space="preserve"> Για τους κτηνοτρόφους που διαθέτουν ιδιόκτητη ή μισθωμένη εγκεκριμένη εγκατάσταση:</w:t>
            </w:r>
          </w:p>
          <w:p w14:paraId="5522119C" w14:textId="77777777" w:rsidR="00F523C3" w:rsidRPr="00F523C3" w:rsidRDefault="00F523C3" w:rsidP="007137FE">
            <w:pPr>
              <w:ind w:left="227" w:right="227"/>
              <w:jc w:val="both"/>
              <w:rPr>
                <w:rFonts w:ascii="Verdana" w:hAnsi="Verdana" w:cs="Times New Roman"/>
                <w:sz w:val="20"/>
                <w:szCs w:val="20"/>
              </w:rPr>
            </w:pPr>
            <w:r w:rsidRPr="00F523C3">
              <w:rPr>
                <w:rFonts w:ascii="Verdana" w:hAnsi="Verdana" w:cs="Times New Roman"/>
                <w:sz w:val="20"/>
                <w:szCs w:val="20"/>
                <w:lang w:val="en-US"/>
              </w:rPr>
              <w:t>i</w:t>
            </w:r>
            <w:r w:rsidRPr="00F523C3">
              <w:rPr>
                <w:rFonts w:ascii="Verdana" w:hAnsi="Verdana" w:cs="Times New Roman"/>
                <w:sz w:val="20"/>
                <w:szCs w:val="20"/>
              </w:rPr>
              <w:t>). βεβαίωση της καταχώρισης της εγκατάστασης παραγωγής στη λίστα των εγκεκριμένων εγκαταστάσεων του Ενιαίου Φορέα Ελέγχων Τροφίμων (ΕΦΕΤ),</w:t>
            </w:r>
          </w:p>
          <w:p w14:paraId="170A639E" w14:textId="77777777" w:rsidR="00F523C3" w:rsidRPr="00F523C3" w:rsidRDefault="00F523C3" w:rsidP="0001227E">
            <w:pPr>
              <w:ind w:left="227" w:right="227"/>
              <w:jc w:val="both"/>
              <w:rPr>
                <w:rFonts w:ascii="Verdana" w:hAnsi="Verdana" w:cs="Times New Roman"/>
                <w:sz w:val="20"/>
                <w:szCs w:val="20"/>
              </w:rPr>
            </w:pPr>
            <w:r w:rsidRPr="00F523C3">
              <w:rPr>
                <w:rFonts w:ascii="Verdana" w:hAnsi="Verdana" w:cs="Times New Roman"/>
                <w:sz w:val="20"/>
                <w:szCs w:val="20"/>
                <w:lang w:val="en-US"/>
              </w:rPr>
              <w:t>ii</w:t>
            </w:r>
            <w:r w:rsidRPr="00F523C3">
              <w:rPr>
                <w:rFonts w:ascii="Verdana" w:hAnsi="Verdana" w:cs="Times New Roman"/>
                <w:sz w:val="20"/>
                <w:szCs w:val="20"/>
              </w:rPr>
              <w:t xml:space="preserve">). αν πρόκειται για μισθωμένη εγκατάσταση, μισθωτήριο καταχωρημένο </w:t>
            </w:r>
            <w:r w:rsidR="0001227E">
              <w:rPr>
                <w:rFonts w:ascii="Verdana" w:hAnsi="Verdana" w:cs="Times New Roman"/>
                <w:sz w:val="20"/>
                <w:szCs w:val="20"/>
              </w:rPr>
              <w:t>στο πληροφοριακό σύστημα της ΑΑΔΕ-</w:t>
            </w:r>
            <w:r w:rsidRPr="00F523C3">
              <w:rPr>
                <w:rFonts w:ascii="Verdana" w:hAnsi="Verdana" w:cs="Times New Roman"/>
                <w:sz w:val="20"/>
                <w:szCs w:val="20"/>
              </w:rPr>
              <w:t>TAXIS.</w:t>
            </w:r>
          </w:p>
        </w:tc>
        <w:tc>
          <w:tcPr>
            <w:tcW w:w="1276" w:type="dxa"/>
          </w:tcPr>
          <w:p w14:paraId="049C64FE" w14:textId="77777777" w:rsidR="00F523C3" w:rsidRPr="00F523C3" w:rsidRDefault="00F523C3" w:rsidP="007137FE">
            <w:pPr>
              <w:rPr>
                <w:rFonts w:ascii="Verdana" w:hAnsi="Verdana" w:cs="Times New Roman"/>
                <w:sz w:val="20"/>
                <w:szCs w:val="20"/>
              </w:rPr>
            </w:pPr>
          </w:p>
          <w:p w14:paraId="7EDB0769" w14:textId="77777777" w:rsidR="00F523C3" w:rsidRPr="00F523C3" w:rsidRDefault="00F523C3" w:rsidP="007137FE">
            <w:pPr>
              <w:rPr>
                <w:rFonts w:ascii="Verdana" w:hAnsi="Verdana" w:cs="Times New Roman"/>
                <w:sz w:val="20"/>
                <w:szCs w:val="20"/>
              </w:rPr>
            </w:pPr>
          </w:p>
          <w:p w14:paraId="33B84E9E" w14:textId="77777777" w:rsidR="00F523C3" w:rsidRPr="00F523C3" w:rsidRDefault="00F523C3" w:rsidP="007137FE">
            <w:pPr>
              <w:rPr>
                <w:rFonts w:ascii="Verdana" w:hAnsi="Verdana" w:cs="Times New Roman"/>
                <w:sz w:val="20"/>
                <w:szCs w:val="20"/>
              </w:rPr>
            </w:pPr>
          </w:p>
        </w:tc>
      </w:tr>
      <w:tr w:rsidR="00F523C3" w:rsidRPr="00F523C3" w14:paraId="579DCD73" w14:textId="77777777" w:rsidTr="007137FE">
        <w:tc>
          <w:tcPr>
            <w:tcW w:w="9215" w:type="dxa"/>
          </w:tcPr>
          <w:p w14:paraId="3F466626" w14:textId="77777777" w:rsidR="00F523C3" w:rsidRPr="00F523C3" w:rsidRDefault="00F523C3" w:rsidP="007137FE">
            <w:pPr>
              <w:ind w:left="227" w:right="227"/>
              <w:jc w:val="both"/>
              <w:rPr>
                <w:rFonts w:ascii="Verdana" w:hAnsi="Verdana" w:cs="Times New Roman"/>
                <w:sz w:val="20"/>
                <w:szCs w:val="20"/>
              </w:rPr>
            </w:pPr>
            <w:r w:rsidRPr="00F523C3">
              <w:rPr>
                <w:rFonts w:ascii="Verdana" w:hAnsi="Verdana" w:cs="Times New Roman"/>
                <w:b/>
                <w:sz w:val="20"/>
                <w:szCs w:val="20"/>
              </w:rPr>
              <w:t xml:space="preserve">ια. Για τη διάθεση γαλακτοκομικών προϊόντων: </w:t>
            </w:r>
            <w:r w:rsidRPr="00F523C3">
              <w:rPr>
                <w:rFonts w:ascii="Verdana" w:hAnsi="Verdana" w:cs="Times New Roman"/>
                <w:b/>
                <w:bCs/>
                <w:sz w:val="20"/>
                <w:szCs w:val="20"/>
              </w:rPr>
              <w:t>ιαγ.</w:t>
            </w:r>
            <w:r w:rsidRPr="00F523C3">
              <w:rPr>
                <w:rFonts w:ascii="Verdana" w:hAnsi="Verdana" w:cs="Times New Roman"/>
                <w:sz w:val="20"/>
                <w:szCs w:val="20"/>
              </w:rPr>
              <w:t xml:space="preserve"> Για τους κτηνοτρόφους που δεν διαθέτουν ιδιόκτητη ή μισθωμένη εγκατάσταση, αλλά παραδίδουν το γάλα σε εγκεκριμένη μονάδα, λαμβάνοντας τελικό μεταποιημένο προϊόν:</w:t>
            </w:r>
          </w:p>
          <w:p w14:paraId="0AC98C03" w14:textId="77777777" w:rsidR="00F523C3" w:rsidRPr="00F523C3" w:rsidRDefault="00F523C3" w:rsidP="007137FE">
            <w:pPr>
              <w:ind w:left="227" w:right="227"/>
              <w:jc w:val="both"/>
              <w:rPr>
                <w:rFonts w:ascii="Verdana" w:hAnsi="Verdana" w:cs="Times New Roman"/>
                <w:sz w:val="20"/>
                <w:szCs w:val="20"/>
              </w:rPr>
            </w:pPr>
            <w:r w:rsidRPr="00F523C3">
              <w:rPr>
                <w:rFonts w:ascii="Verdana" w:hAnsi="Verdana" w:cs="Times New Roman"/>
                <w:sz w:val="20"/>
                <w:szCs w:val="20"/>
                <w:lang w:val="en-US"/>
              </w:rPr>
              <w:t>i</w:t>
            </w:r>
            <w:r w:rsidRPr="00F523C3">
              <w:rPr>
                <w:rFonts w:ascii="Verdana" w:hAnsi="Verdana" w:cs="Times New Roman"/>
                <w:sz w:val="20"/>
                <w:szCs w:val="20"/>
              </w:rPr>
              <w:t>). βεβαίωση της καταχώρισης της εγκατάστασης μεταποίησης του γάλακτος στη λίστα των εγκεκριμένων εγκαταστάσεων του ΕΦΕΤ,</w:t>
            </w:r>
          </w:p>
          <w:p w14:paraId="710CF826" w14:textId="77777777" w:rsidR="00F523C3" w:rsidRPr="00F523C3" w:rsidRDefault="00F523C3" w:rsidP="007137FE">
            <w:pPr>
              <w:ind w:left="227" w:right="227"/>
              <w:jc w:val="both"/>
              <w:rPr>
                <w:rFonts w:ascii="Verdana" w:hAnsi="Verdana" w:cs="Times New Roman"/>
                <w:sz w:val="20"/>
                <w:szCs w:val="20"/>
              </w:rPr>
            </w:pPr>
            <w:r w:rsidRPr="00F523C3">
              <w:rPr>
                <w:rFonts w:ascii="Verdana" w:hAnsi="Verdana" w:cs="Times New Roman"/>
                <w:sz w:val="20"/>
                <w:szCs w:val="20"/>
                <w:lang w:val="en-US"/>
              </w:rPr>
              <w:t>ii</w:t>
            </w:r>
            <w:r w:rsidRPr="00F523C3">
              <w:rPr>
                <w:rFonts w:ascii="Verdana" w:hAnsi="Verdana" w:cs="Times New Roman"/>
                <w:sz w:val="20"/>
                <w:szCs w:val="20"/>
              </w:rPr>
              <w:t>). ιδιωτικό συμφωνητικό μεταξύ του κτηνοτρόφου και της εγκατάστασης μεταποίησης του γάλακτος.</w:t>
            </w:r>
          </w:p>
        </w:tc>
        <w:tc>
          <w:tcPr>
            <w:tcW w:w="1276" w:type="dxa"/>
          </w:tcPr>
          <w:p w14:paraId="1998B854" w14:textId="77777777" w:rsidR="00F523C3" w:rsidRPr="00F523C3" w:rsidRDefault="00F523C3" w:rsidP="007137FE">
            <w:pPr>
              <w:spacing w:line="360" w:lineRule="auto"/>
              <w:ind w:left="227" w:right="227"/>
              <w:jc w:val="both"/>
              <w:rPr>
                <w:rFonts w:ascii="Verdana" w:hAnsi="Verdana" w:cs="Times New Roman"/>
                <w:b/>
                <w:color w:val="auto"/>
                <w:sz w:val="20"/>
                <w:szCs w:val="20"/>
              </w:rPr>
            </w:pPr>
          </w:p>
          <w:p w14:paraId="12E41EFF" w14:textId="77777777" w:rsidR="00F523C3" w:rsidRPr="00F523C3" w:rsidRDefault="00F523C3" w:rsidP="007137FE">
            <w:pPr>
              <w:rPr>
                <w:rFonts w:ascii="Verdana" w:hAnsi="Verdana" w:cs="Times New Roman"/>
                <w:sz w:val="20"/>
                <w:szCs w:val="20"/>
              </w:rPr>
            </w:pPr>
          </w:p>
          <w:p w14:paraId="5485E41E" w14:textId="77777777" w:rsidR="00F523C3" w:rsidRPr="00F523C3" w:rsidRDefault="00F523C3" w:rsidP="007137FE">
            <w:pPr>
              <w:rPr>
                <w:rFonts w:ascii="Verdana" w:hAnsi="Verdana" w:cs="Times New Roman"/>
                <w:sz w:val="20"/>
                <w:szCs w:val="20"/>
              </w:rPr>
            </w:pPr>
          </w:p>
          <w:p w14:paraId="2F8D37AE" w14:textId="77777777" w:rsidR="00F523C3" w:rsidRPr="00F523C3" w:rsidRDefault="00F523C3" w:rsidP="007137FE">
            <w:pPr>
              <w:rPr>
                <w:rFonts w:ascii="Verdana" w:hAnsi="Verdana" w:cs="Times New Roman"/>
                <w:sz w:val="20"/>
                <w:szCs w:val="20"/>
              </w:rPr>
            </w:pPr>
          </w:p>
        </w:tc>
      </w:tr>
      <w:tr w:rsidR="00F523C3" w:rsidRPr="00F523C3" w14:paraId="10FC8D42" w14:textId="77777777" w:rsidTr="007137FE">
        <w:tc>
          <w:tcPr>
            <w:tcW w:w="9215" w:type="dxa"/>
          </w:tcPr>
          <w:p w14:paraId="5BDF9A4E" w14:textId="77777777" w:rsidR="00F523C3" w:rsidRPr="00F523C3" w:rsidRDefault="00F523C3" w:rsidP="0001227E">
            <w:pPr>
              <w:ind w:left="227" w:right="227"/>
              <w:jc w:val="both"/>
              <w:rPr>
                <w:rFonts w:ascii="Verdana" w:hAnsi="Verdana" w:cs="Times New Roman"/>
                <w:sz w:val="20"/>
                <w:szCs w:val="20"/>
              </w:rPr>
            </w:pPr>
            <w:r w:rsidRPr="00F523C3">
              <w:rPr>
                <w:rFonts w:ascii="Verdana" w:hAnsi="Verdana" w:cs="Times New Roman"/>
                <w:b/>
                <w:sz w:val="20"/>
                <w:szCs w:val="20"/>
              </w:rPr>
              <w:t xml:space="preserve">ιβ). Για τη διάθεση οποιουδήποτε βιολογικού προϊόντος, ο παραγωγός προσκομίζει: </w:t>
            </w:r>
            <w:r w:rsidRPr="00F523C3">
              <w:rPr>
                <w:rFonts w:ascii="Verdana" w:hAnsi="Verdana" w:cs="Times New Roman"/>
                <w:sz w:val="20"/>
                <w:szCs w:val="20"/>
              </w:rPr>
              <w:t>Τις απαραίτητες πιστοποιήσεις, σύμφωνα με τους Κανονισμούς 834/2007 (L 189</w:t>
            </w:r>
            <w:r w:rsidR="0001227E">
              <w:rPr>
                <w:rFonts w:ascii="Verdana" w:hAnsi="Verdana" w:cs="Times New Roman"/>
                <w:sz w:val="20"/>
                <w:szCs w:val="20"/>
              </w:rPr>
              <w:t>), 889/2008 (L 250) και 1235/200</w:t>
            </w:r>
            <w:r w:rsidRPr="00F523C3">
              <w:rPr>
                <w:rFonts w:ascii="Verdana" w:hAnsi="Verdana" w:cs="Times New Roman"/>
                <w:sz w:val="20"/>
                <w:szCs w:val="20"/>
              </w:rPr>
              <w:t>8 (</w:t>
            </w:r>
            <w:r w:rsidRPr="00F523C3">
              <w:rPr>
                <w:rFonts w:ascii="Verdana" w:hAnsi="Verdana" w:cs="Times New Roman"/>
                <w:sz w:val="20"/>
                <w:szCs w:val="20"/>
                <w:lang w:val="en-US"/>
              </w:rPr>
              <w:t>L</w:t>
            </w:r>
            <w:r w:rsidRPr="00F523C3">
              <w:rPr>
                <w:rFonts w:ascii="Verdana" w:hAnsi="Verdana" w:cs="Times New Roman"/>
                <w:sz w:val="20"/>
                <w:szCs w:val="20"/>
              </w:rPr>
              <w:t>334) και την υπ’ αρ. 2543/103240</w:t>
            </w:r>
            <w:r w:rsidR="0001227E">
              <w:rPr>
                <w:rFonts w:ascii="Verdana" w:hAnsi="Verdana" w:cs="Times New Roman"/>
                <w:sz w:val="20"/>
                <w:szCs w:val="20"/>
              </w:rPr>
              <w:t>/2.10.2017</w:t>
            </w:r>
            <w:r w:rsidRPr="00F523C3">
              <w:rPr>
                <w:rFonts w:ascii="Verdana" w:hAnsi="Verdana" w:cs="Times New Roman"/>
                <w:sz w:val="20"/>
                <w:szCs w:val="20"/>
              </w:rPr>
              <w:t xml:space="preserve"> (Β</w:t>
            </w:r>
            <w:r w:rsidR="0001227E">
              <w:rPr>
                <w:rFonts w:ascii="Verdana" w:hAnsi="Verdana" w:cs="Times New Roman"/>
                <w:sz w:val="20"/>
                <w:szCs w:val="20"/>
              </w:rPr>
              <w:t>΄</w:t>
            </w:r>
            <w:r w:rsidRPr="00F523C3">
              <w:rPr>
                <w:rFonts w:ascii="Verdana" w:hAnsi="Verdana" w:cs="Times New Roman"/>
                <w:sz w:val="20"/>
                <w:szCs w:val="20"/>
              </w:rPr>
              <w:t>3</w:t>
            </w:r>
            <w:r w:rsidR="0001227E">
              <w:rPr>
                <w:rFonts w:ascii="Verdana" w:hAnsi="Verdana" w:cs="Times New Roman"/>
                <w:sz w:val="20"/>
                <w:szCs w:val="20"/>
              </w:rPr>
              <w:t>5</w:t>
            </w:r>
            <w:r w:rsidRPr="00F523C3">
              <w:rPr>
                <w:rFonts w:ascii="Verdana" w:hAnsi="Verdana" w:cs="Times New Roman"/>
                <w:sz w:val="20"/>
                <w:szCs w:val="20"/>
              </w:rPr>
              <w:t xml:space="preserve">29) απόφαση του </w:t>
            </w:r>
            <w:r w:rsidR="0001227E">
              <w:rPr>
                <w:rFonts w:ascii="Verdana" w:hAnsi="Verdana" w:cs="Times New Roman"/>
                <w:sz w:val="20"/>
                <w:szCs w:val="20"/>
              </w:rPr>
              <w:t xml:space="preserve">Αναπληρωτή </w:t>
            </w:r>
            <w:r w:rsidRPr="00F523C3">
              <w:rPr>
                <w:rFonts w:ascii="Verdana" w:hAnsi="Verdana" w:cs="Times New Roman"/>
                <w:sz w:val="20"/>
                <w:szCs w:val="20"/>
              </w:rPr>
              <w:t xml:space="preserve">Υπουργού  Αγροτικής Ανάπτυξης και Τροφίμων, όπως ισχύουν. Στην περίπτωση αυτή και μόνο επιτρέπεται να προσθέσει την ένδειξη «βιολογικό» στην πινακίδα του. </w:t>
            </w:r>
          </w:p>
        </w:tc>
        <w:tc>
          <w:tcPr>
            <w:tcW w:w="1276" w:type="dxa"/>
          </w:tcPr>
          <w:p w14:paraId="2C2F80E6" w14:textId="77777777" w:rsidR="00F523C3" w:rsidRPr="00F523C3" w:rsidRDefault="00F523C3" w:rsidP="007137FE">
            <w:pPr>
              <w:spacing w:line="360" w:lineRule="auto"/>
              <w:ind w:left="227" w:right="227"/>
              <w:jc w:val="both"/>
              <w:rPr>
                <w:rFonts w:ascii="Verdana" w:hAnsi="Verdana" w:cs="Times New Roman"/>
                <w:b/>
                <w:color w:val="auto"/>
                <w:sz w:val="20"/>
                <w:szCs w:val="20"/>
              </w:rPr>
            </w:pPr>
          </w:p>
          <w:p w14:paraId="3570B3DF" w14:textId="77777777" w:rsidR="00F523C3" w:rsidRPr="00F523C3" w:rsidRDefault="00F523C3" w:rsidP="007137FE">
            <w:pPr>
              <w:rPr>
                <w:rFonts w:ascii="Verdana" w:hAnsi="Verdana" w:cs="Times New Roman"/>
                <w:sz w:val="20"/>
                <w:szCs w:val="20"/>
              </w:rPr>
            </w:pPr>
          </w:p>
          <w:p w14:paraId="3FB15451" w14:textId="77777777" w:rsidR="00F523C3" w:rsidRPr="00F523C3" w:rsidRDefault="00F523C3" w:rsidP="007137FE">
            <w:pPr>
              <w:rPr>
                <w:rFonts w:ascii="Verdana" w:hAnsi="Verdana" w:cs="Times New Roman"/>
                <w:sz w:val="20"/>
                <w:szCs w:val="20"/>
              </w:rPr>
            </w:pPr>
          </w:p>
        </w:tc>
      </w:tr>
    </w:tbl>
    <w:p w14:paraId="43C3CAAF" w14:textId="77777777" w:rsidR="00151BC9" w:rsidRPr="00F523C3" w:rsidRDefault="00151BC9">
      <w:pPr>
        <w:rPr>
          <w:rFonts w:ascii="Verdana" w:hAnsi="Verdana"/>
          <w:sz w:val="20"/>
          <w:szCs w:val="20"/>
        </w:rPr>
      </w:pPr>
    </w:p>
    <w:sectPr w:rsidR="00151BC9" w:rsidRPr="00F523C3" w:rsidSect="00CE73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yriadPro-Regular">
    <w:altName w:val="Calibri"/>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F12C2"/>
    <w:rsid w:val="0001227E"/>
    <w:rsid w:val="00151BC9"/>
    <w:rsid w:val="003E3153"/>
    <w:rsid w:val="008F12C2"/>
    <w:rsid w:val="00BC6990"/>
    <w:rsid w:val="00CE7399"/>
    <w:rsid w:val="00D41A74"/>
    <w:rsid w:val="00F523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7025F"/>
  <w15:docId w15:val="{C65457A4-03CA-4D78-B707-31EA1951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3C3"/>
    <w:pPr>
      <w:spacing w:after="0" w:line="240" w:lineRule="auto"/>
    </w:pPr>
    <w:rPr>
      <w:rFonts w:ascii="Microsoft Sans Serif" w:eastAsia="Calibri" w:hAnsi="Microsoft Sans Serif" w:cs="Microsoft Sans Serif"/>
      <w:color w:val="000000"/>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877</Words>
  <Characters>4737</Characters>
  <Application>Microsoft Office Word</Application>
  <DocSecurity>0</DocSecurity>
  <Lines>39</Lines>
  <Paragraphs>11</Paragraphs>
  <ScaleCrop>false</ScaleCrop>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ΧΡΙΣΤΟΔΟΥΛΑΚΗ</dc:creator>
  <cp:lastModifiedBy>ΜΑΡΙΑ ΧΡΙΣΤΟΔΟΥΛΑΚΗ</cp:lastModifiedBy>
  <cp:revision>3</cp:revision>
  <dcterms:created xsi:type="dcterms:W3CDTF">2022-05-31T10:22:00Z</dcterms:created>
  <dcterms:modified xsi:type="dcterms:W3CDTF">2022-06-08T08:42:00Z</dcterms:modified>
</cp:coreProperties>
</file>